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3600" w:rsidRDefault="005B3600" w:rsidP="005B3600">
      <w:pPr>
        <w:jc w:val="center"/>
        <w:outlineLvl w:val="0"/>
        <w:rPr>
          <w:rFonts w:ascii="Garamond" w:hAnsi="Garamond"/>
          <w:b/>
        </w:rPr>
      </w:pPr>
      <w:r>
        <w:rPr>
          <w:rFonts w:ascii="Garamond" w:hAnsi="Garamond"/>
          <w:b/>
        </w:rPr>
        <w:t>RIDER C</w:t>
      </w:r>
    </w:p>
    <w:p w:rsidR="005B3600" w:rsidRDefault="005B3600" w:rsidP="005B3600">
      <w:pPr>
        <w:jc w:val="center"/>
        <w:rPr>
          <w:rFonts w:ascii="Garamond" w:hAnsi="Garamond"/>
          <w:b/>
        </w:rPr>
      </w:pPr>
      <w:r>
        <w:rPr>
          <w:rFonts w:ascii="Garamond" w:hAnsi="Garamond"/>
          <w:b/>
        </w:rPr>
        <w:t>PERFORMANCE GUARANTEE</w:t>
      </w:r>
    </w:p>
    <w:p w:rsidR="005B3600" w:rsidRDefault="005B3600" w:rsidP="005B3600">
      <w:pPr>
        <w:jc w:val="center"/>
        <w:rPr>
          <w:rFonts w:ascii="Garamond" w:hAnsi="Garamond"/>
        </w:rPr>
      </w:pPr>
    </w:p>
    <w:p w:rsidR="005B3600" w:rsidRDefault="005B3600" w:rsidP="005B3600">
      <w:pPr>
        <w:rPr>
          <w:rFonts w:ascii="Garamond" w:hAnsi="Garamond"/>
        </w:rPr>
      </w:pPr>
      <w:r>
        <w:rPr>
          <w:rFonts w:ascii="Garamond" w:hAnsi="Garamond"/>
        </w:rPr>
        <w:t>Each 12 month period after COD the annual energy (kWh) production shall be at least 80% of EEP.</w:t>
      </w:r>
    </w:p>
    <w:p w:rsidR="005B3600" w:rsidRDefault="005B3600" w:rsidP="005B3600">
      <w:pPr>
        <w:rPr>
          <w:rFonts w:ascii="Garamond" w:hAnsi="Garamond"/>
        </w:rPr>
      </w:pPr>
    </w:p>
    <w:p w:rsidR="005B3600" w:rsidRDefault="005B3600" w:rsidP="005B3600">
      <w:pPr>
        <w:rPr>
          <w:rFonts w:ascii="Garamond" w:hAnsi="Garamond"/>
        </w:rPr>
      </w:pPr>
      <w:r>
        <w:rPr>
          <w:rFonts w:ascii="Garamond" w:hAnsi="Garamond"/>
        </w:rPr>
        <w:t xml:space="preserve">In the event in any 12 month period after COD energy production is less than 80% of EEP, Licensee shall pay Trustees the differential between the actual cost of replacement electricity and the Price times the number of kWh below the 80% of EEP.  For purposes of </w:t>
      </w:r>
      <w:r w:rsidRPr="00786AEF">
        <w:rPr>
          <w:rFonts w:ascii="Garamond" w:hAnsi="Garamond"/>
        </w:rPr>
        <w:t xml:space="preserve">calculating whether Licensee </w:t>
      </w:r>
      <w:r>
        <w:rPr>
          <w:rFonts w:ascii="Garamond" w:hAnsi="Garamond"/>
        </w:rPr>
        <w:t xml:space="preserve">has </w:t>
      </w:r>
      <w:r w:rsidRPr="00786AEF">
        <w:rPr>
          <w:rFonts w:ascii="Garamond" w:hAnsi="Garamond"/>
        </w:rPr>
        <w:t xml:space="preserve">achieved the 80% of EEP threshold in a given Contract Year, </w:t>
      </w:r>
      <w:r>
        <w:rPr>
          <w:rFonts w:ascii="Garamond" w:hAnsi="Garamond"/>
        </w:rPr>
        <w:t xml:space="preserve">Licensee will be credited all </w:t>
      </w:r>
      <w:r w:rsidRPr="00786AEF">
        <w:rPr>
          <w:rFonts w:ascii="Garamond" w:hAnsi="Garamond"/>
        </w:rPr>
        <w:t xml:space="preserve">Deemed Generated Energy </w:t>
      </w:r>
      <w:r>
        <w:rPr>
          <w:rFonts w:ascii="Garamond" w:hAnsi="Garamond"/>
        </w:rPr>
        <w:t xml:space="preserve">during the Contract Year for which Licensee is entitled to In Lieu of Electricity Payments pursuant to </w:t>
      </w:r>
      <w:r w:rsidRPr="00786AEF">
        <w:rPr>
          <w:rFonts w:ascii="Garamond" w:hAnsi="Garamond"/>
        </w:rPr>
        <w:t>Section 10.2</w:t>
      </w:r>
      <w:r>
        <w:rPr>
          <w:rFonts w:ascii="Garamond" w:hAnsi="Garamond"/>
        </w:rPr>
        <w:t xml:space="preserve">, Section </w:t>
      </w:r>
      <w:r w:rsidRPr="00786AEF">
        <w:rPr>
          <w:rFonts w:ascii="Garamond" w:hAnsi="Garamond"/>
        </w:rPr>
        <w:t>11.7</w:t>
      </w:r>
      <w:r>
        <w:rPr>
          <w:rFonts w:ascii="Garamond" w:hAnsi="Garamond"/>
        </w:rPr>
        <w:t>, and any other applicable provision of the Agreement.</w:t>
      </w:r>
    </w:p>
    <w:p w:rsidR="005B3600" w:rsidRDefault="005B3600" w:rsidP="005B3600">
      <w:pPr>
        <w:rPr>
          <w:rFonts w:ascii="Garamond" w:hAnsi="Garamond"/>
        </w:rPr>
      </w:pPr>
    </w:p>
    <w:p w:rsidR="005B3600" w:rsidRDefault="005B3600" w:rsidP="005B3600">
      <w:pPr>
        <w:rPr>
          <w:rFonts w:ascii="Garamond" w:hAnsi="Garamond"/>
        </w:rPr>
      </w:pPr>
      <w:r w:rsidRPr="00E55CE0">
        <w:rPr>
          <w:rFonts w:ascii="Garamond" w:hAnsi="Garamond"/>
          <w:highlight w:val="yellow"/>
        </w:rPr>
        <w:t xml:space="preserve">[This is the minimum viable performance guarantee built around administrative simplicity.  </w:t>
      </w:r>
      <w:r>
        <w:rPr>
          <w:rFonts w:ascii="Garamond" w:hAnsi="Garamond"/>
          <w:highlight w:val="yellow"/>
        </w:rPr>
        <w:t>University</w:t>
      </w:r>
      <w:r w:rsidRPr="00E55CE0">
        <w:rPr>
          <w:rFonts w:ascii="Garamond" w:hAnsi="Garamond"/>
          <w:highlight w:val="yellow"/>
        </w:rPr>
        <w:t xml:space="preserve"> and Licensee may agree to more elaborate performance guarantees as long as the guarantee meets or exceeds this minimum]</w:t>
      </w:r>
    </w:p>
    <w:p w:rsidR="005B3600" w:rsidRDefault="005B3600" w:rsidP="005B3600">
      <w:pPr>
        <w:rPr>
          <w:rFonts w:ascii="Garamond" w:hAnsi="Garamond"/>
        </w:rPr>
      </w:pPr>
    </w:p>
    <w:p w:rsidR="005B3600" w:rsidRDefault="005B3600" w:rsidP="005B3600">
      <w:pPr>
        <w:rPr>
          <w:rFonts w:ascii="Garamond" w:hAnsi="Garamond"/>
        </w:rPr>
      </w:pPr>
    </w:p>
    <w:p w:rsidR="005B3600" w:rsidRDefault="005B3600" w:rsidP="005B3600">
      <w:pPr>
        <w:rPr>
          <w:rFonts w:ascii="Garamond" w:hAnsi="Garamond"/>
        </w:rPr>
      </w:pPr>
      <w:bookmarkStart w:id="0" w:name="_GoBack"/>
      <w:bookmarkEnd w:id="0"/>
    </w:p>
    <w:p w:rsidR="005B3600" w:rsidRDefault="005B3600" w:rsidP="005B3600">
      <w:pPr>
        <w:rPr>
          <w:rFonts w:ascii="Garamond" w:hAnsi="Garamond"/>
        </w:rPr>
      </w:pPr>
    </w:p>
    <w:p w:rsidR="005B3600" w:rsidRDefault="005B3600" w:rsidP="005B3600">
      <w:pPr>
        <w:jc w:val="center"/>
        <w:rPr>
          <w:rFonts w:ascii="Garamond" w:hAnsi="Garamond"/>
        </w:rPr>
      </w:pPr>
      <w:r>
        <w:rPr>
          <w:rFonts w:ascii="Garamond" w:hAnsi="Garamond"/>
        </w:rPr>
        <w:t>End of Rider C</w:t>
      </w:r>
    </w:p>
    <w:p w:rsidR="005B3600" w:rsidRPr="00362350" w:rsidRDefault="005B3600" w:rsidP="005B3600">
      <w:pPr>
        <w:rPr>
          <w:rFonts w:ascii="Garamond" w:hAnsi="Garamond"/>
        </w:rPr>
      </w:pPr>
    </w:p>
    <w:p w:rsidR="00A825FA" w:rsidRDefault="00A825FA"/>
    <w:sectPr w:rsidR="00A825FA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4C1E" w:rsidRDefault="00344C1E" w:rsidP="00344C1E">
      <w:r>
        <w:separator/>
      </w:r>
    </w:p>
  </w:endnote>
  <w:endnote w:type="continuationSeparator" w:id="0">
    <w:p w:rsidR="00344C1E" w:rsidRDefault="00344C1E" w:rsidP="00344C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Garamond" w:hAnsi="Garamond"/>
        <w:i/>
      </w:rPr>
      <w:id w:val="553743276"/>
      <w:docPartObj>
        <w:docPartGallery w:val="Page Numbers (Bottom of Page)"/>
        <w:docPartUnique/>
      </w:docPartObj>
    </w:sdtPr>
    <w:sdtEndPr/>
    <w:sdtContent>
      <w:sdt>
        <w:sdtPr>
          <w:rPr>
            <w:rFonts w:ascii="Garamond" w:hAnsi="Garamond"/>
            <w:i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344C1E" w:rsidRPr="009F6902" w:rsidRDefault="00344C1E">
            <w:pPr>
              <w:pStyle w:val="Footer"/>
              <w:jc w:val="center"/>
              <w:rPr>
                <w:rFonts w:ascii="Garamond" w:hAnsi="Garamond"/>
                <w:i/>
              </w:rPr>
            </w:pPr>
            <w:r w:rsidRPr="009F6902">
              <w:rPr>
                <w:rFonts w:ascii="Garamond" w:hAnsi="Garamond"/>
                <w:i/>
              </w:rPr>
              <w:t xml:space="preserve">Page </w:t>
            </w:r>
            <w:r w:rsidRPr="009F6902">
              <w:rPr>
                <w:rFonts w:ascii="Garamond" w:hAnsi="Garamond"/>
                <w:bCs/>
                <w:i/>
              </w:rPr>
              <w:fldChar w:fldCharType="begin"/>
            </w:r>
            <w:r w:rsidRPr="009F6902">
              <w:rPr>
                <w:rFonts w:ascii="Garamond" w:hAnsi="Garamond"/>
                <w:bCs/>
                <w:i/>
              </w:rPr>
              <w:instrText xml:space="preserve"> PAGE </w:instrText>
            </w:r>
            <w:r w:rsidRPr="009F6902">
              <w:rPr>
                <w:rFonts w:ascii="Garamond" w:hAnsi="Garamond"/>
                <w:bCs/>
                <w:i/>
              </w:rPr>
              <w:fldChar w:fldCharType="separate"/>
            </w:r>
            <w:r w:rsidR="005C7028">
              <w:rPr>
                <w:rFonts w:ascii="Garamond" w:hAnsi="Garamond"/>
                <w:bCs/>
                <w:i/>
                <w:noProof/>
              </w:rPr>
              <w:t>1</w:t>
            </w:r>
            <w:r w:rsidRPr="009F6902">
              <w:rPr>
                <w:rFonts w:ascii="Garamond" w:hAnsi="Garamond"/>
                <w:bCs/>
                <w:i/>
              </w:rPr>
              <w:fldChar w:fldCharType="end"/>
            </w:r>
            <w:r w:rsidRPr="009F6902">
              <w:rPr>
                <w:rFonts w:ascii="Garamond" w:hAnsi="Garamond"/>
                <w:i/>
              </w:rPr>
              <w:t xml:space="preserve"> of </w:t>
            </w:r>
            <w:r w:rsidRPr="009F6902">
              <w:rPr>
                <w:rFonts w:ascii="Garamond" w:hAnsi="Garamond"/>
                <w:bCs/>
                <w:i/>
              </w:rPr>
              <w:fldChar w:fldCharType="begin"/>
            </w:r>
            <w:r w:rsidRPr="009F6902">
              <w:rPr>
                <w:rFonts w:ascii="Garamond" w:hAnsi="Garamond"/>
                <w:bCs/>
                <w:i/>
              </w:rPr>
              <w:instrText xml:space="preserve"> NUMPAGES  </w:instrText>
            </w:r>
            <w:r w:rsidRPr="009F6902">
              <w:rPr>
                <w:rFonts w:ascii="Garamond" w:hAnsi="Garamond"/>
                <w:bCs/>
                <w:i/>
              </w:rPr>
              <w:fldChar w:fldCharType="separate"/>
            </w:r>
            <w:r w:rsidR="005C7028">
              <w:rPr>
                <w:rFonts w:ascii="Garamond" w:hAnsi="Garamond"/>
                <w:bCs/>
                <w:i/>
                <w:noProof/>
              </w:rPr>
              <w:t>1</w:t>
            </w:r>
            <w:r w:rsidRPr="009F6902">
              <w:rPr>
                <w:rFonts w:ascii="Garamond" w:hAnsi="Garamond"/>
                <w:bCs/>
                <w:i/>
              </w:rPr>
              <w:fldChar w:fldCharType="end"/>
            </w:r>
          </w:p>
        </w:sdtContent>
      </w:sdt>
    </w:sdtContent>
  </w:sdt>
  <w:p w:rsidR="00344C1E" w:rsidRDefault="00344C1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4C1E" w:rsidRDefault="00344C1E" w:rsidP="00344C1E">
      <w:r>
        <w:separator/>
      </w:r>
    </w:p>
  </w:footnote>
  <w:footnote w:type="continuationSeparator" w:id="0">
    <w:p w:rsidR="00344C1E" w:rsidRDefault="00344C1E" w:rsidP="00344C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4C1E" w:rsidRPr="009F6902" w:rsidRDefault="00344C1E" w:rsidP="00344C1E">
    <w:pPr>
      <w:pStyle w:val="Header"/>
      <w:jc w:val="right"/>
      <w:rPr>
        <w:rFonts w:ascii="Garamond" w:hAnsi="Garamond"/>
        <w:i/>
        <w:highlight w:val="yellow"/>
      </w:rPr>
    </w:pPr>
    <w:r w:rsidRPr="009F6902">
      <w:rPr>
        <w:rFonts w:ascii="Garamond" w:hAnsi="Garamond"/>
        <w:i/>
        <w:highlight w:val="yellow"/>
      </w:rPr>
      <w:t>MEA #</w:t>
    </w:r>
  </w:p>
  <w:p w:rsidR="00344C1E" w:rsidRPr="009F6902" w:rsidRDefault="00344C1E" w:rsidP="00344C1E">
    <w:pPr>
      <w:pStyle w:val="Header"/>
      <w:jc w:val="right"/>
      <w:rPr>
        <w:rFonts w:ascii="Garamond" w:hAnsi="Garamond"/>
        <w:i/>
      </w:rPr>
    </w:pPr>
    <w:r w:rsidRPr="009F6902">
      <w:rPr>
        <w:rFonts w:ascii="Garamond" w:hAnsi="Garamond"/>
        <w:i/>
        <w:highlight w:val="yellow"/>
      </w:rPr>
      <w:t>(Contractor)</w:t>
    </w:r>
  </w:p>
  <w:p w:rsidR="00344C1E" w:rsidRPr="009F6902" w:rsidRDefault="00344C1E" w:rsidP="00344C1E">
    <w:pPr>
      <w:pStyle w:val="Header"/>
      <w:rPr>
        <w:rFonts w:ascii="Garamond" w:hAnsi="Garamond"/>
      </w:rPr>
    </w:pPr>
    <w:r w:rsidRPr="009F6902">
      <w:rPr>
        <w:rFonts w:ascii="Garamond" w:hAnsi="Garamond"/>
        <w:i/>
      </w:rPr>
      <w:tab/>
    </w:r>
    <w:r w:rsidRPr="009F6902">
      <w:rPr>
        <w:rFonts w:ascii="Garamond" w:hAnsi="Garamond"/>
        <w:i/>
      </w:rPr>
      <w:tab/>
      <w:t>Solar 4: Exhibit A – SLPPA – Rider C</w:t>
    </w:r>
  </w:p>
  <w:p w:rsidR="00344C1E" w:rsidRDefault="00344C1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3600"/>
    <w:rsid w:val="00344C1E"/>
    <w:rsid w:val="005B3600"/>
    <w:rsid w:val="005C7028"/>
    <w:rsid w:val="009259BB"/>
    <w:rsid w:val="009F6902"/>
    <w:rsid w:val="00A825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DE8CD01-F4E4-4814-A03D-41F04945F2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B3600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344C1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44C1E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344C1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44C1E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144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CSU Office of the Chancellor</Company>
  <LinksUpToDate>false</LinksUpToDate>
  <CharactersWithSpaces>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Fuentes, Cecelia</dc:creator>
  <cp:keywords/>
  <dc:description/>
  <cp:lastModifiedBy>Fuentes, Cecelia</cp:lastModifiedBy>
  <cp:revision>5</cp:revision>
  <dcterms:created xsi:type="dcterms:W3CDTF">2017-09-18T20:12:00Z</dcterms:created>
  <dcterms:modified xsi:type="dcterms:W3CDTF">2017-10-05T18:31:00Z</dcterms:modified>
</cp:coreProperties>
</file>